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2608" w:rsidRPr="00D90666" w:rsidRDefault="0063500C" w:rsidP="009123BE">
      <w:pPr>
        <w:spacing w:line="480" w:lineRule="auto"/>
        <w:jc w:val="both"/>
        <w:rPr>
          <w:rFonts w:ascii="Times New Roman" w:hAnsi="Times New Roman" w:cs="Times New Roman"/>
          <w:b/>
          <w:sz w:val="24"/>
          <w:szCs w:val="24"/>
        </w:rPr>
      </w:pPr>
      <w:r w:rsidRPr="00D90666">
        <w:rPr>
          <w:rFonts w:ascii="Times New Roman" w:hAnsi="Times New Roman" w:cs="Times New Roman"/>
          <w:b/>
          <w:sz w:val="24"/>
          <w:szCs w:val="24"/>
        </w:rPr>
        <w:t xml:space="preserve">To: </w:t>
      </w:r>
      <w:r w:rsidRPr="00D90666">
        <w:rPr>
          <w:rFonts w:ascii="Times New Roman" w:hAnsi="Times New Roman" w:cs="Times New Roman"/>
          <w:sz w:val="24"/>
          <w:szCs w:val="24"/>
        </w:rPr>
        <w:t>Management of DDD</w:t>
      </w:r>
      <w:r w:rsidRPr="00D90666">
        <w:rPr>
          <w:rFonts w:ascii="Times New Roman" w:hAnsi="Times New Roman" w:cs="Times New Roman"/>
          <w:b/>
          <w:sz w:val="24"/>
          <w:szCs w:val="24"/>
        </w:rPr>
        <w:t xml:space="preserve"> </w:t>
      </w:r>
    </w:p>
    <w:p w:rsidR="0063500C" w:rsidRPr="00D90666" w:rsidRDefault="0063500C" w:rsidP="009123BE">
      <w:pPr>
        <w:spacing w:line="480" w:lineRule="auto"/>
        <w:jc w:val="both"/>
        <w:rPr>
          <w:rFonts w:ascii="Times New Roman" w:hAnsi="Times New Roman" w:cs="Times New Roman"/>
          <w:sz w:val="24"/>
          <w:szCs w:val="24"/>
        </w:rPr>
      </w:pPr>
      <w:r w:rsidRPr="00D90666">
        <w:rPr>
          <w:rFonts w:ascii="Times New Roman" w:hAnsi="Times New Roman" w:cs="Times New Roman"/>
          <w:b/>
          <w:sz w:val="24"/>
          <w:szCs w:val="24"/>
        </w:rPr>
        <w:t xml:space="preserve">From: </w:t>
      </w:r>
      <w:r w:rsidRPr="00D90666">
        <w:rPr>
          <w:rFonts w:ascii="Times New Roman" w:hAnsi="Times New Roman" w:cs="Times New Roman"/>
          <w:color w:val="FF0000"/>
          <w:sz w:val="24"/>
          <w:szCs w:val="24"/>
        </w:rPr>
        <w:t>Student Name</w:t>
      </w:r>
    </w:p>
    <w:p w:rsidR="0063500C" w:rsidRPr="00D90666" w:rsidRDefault="0063500C" w:rsidP="009123BE">
      <w:pPr>
        <w:spacing w:line="480" w:lineRule="auto"/>
        <w:jc w:val="both"/>
        <w:rPr>
          <w:rFonts w:ascii="Times New Roman" w:hAnsi="Times New Roman" w:cs="Times New Roman"/>
          <w:sz w:val="24"/>
          <w:szCs w:val="24"/>
        </w:rPr>
      </w:pPr>
      <w:r w:rsidRPr="00D90666">
        <w:rPr>
          <w:rFonts w:ascii="Times New Roman" w:hAnsi="Times New Roman" w:cs="Times New Roman"/>
          <w:b/>
          <w:sz w:val="24"/>
          <w:szCs w:val="24"/>
        </w:rPr>
        <w:t>Date:</w:t>
      </w:r>
      <w:r w:rsidRPr="00D90666">
        <w:rPr>
          <w:rFonts w:ascii="Times New Roman" w:hAnsi="Times New Roman" w:cs="Times New Roman"/>
          <w:sz w:val="24"/>
          <w:szCs w:val="24"/>
        </w:rPr>
        <w:t xml:space="preserve"> 30 Oct 2020</w:t>
      </w:r>
    </w:p>
    <w:p w:rsidR="0063500C" w:rsidRPr="00D90666" w:rsidRDefault="0063500C" w:rsidP="009123BE">
      <w:pPr>
        <w:pBdr>
          <w:bottom w:val="single" w:sz="4" w:space="1" w:color="auto"/>
        </w:pBdr>
        <w:spacing w:line="480" w:lineRule="auto"/>
        <w:jc w:val="both"/>
        <w:rPr>
          <w:rFonts w:ascii="Times New Roman" w:hAnsi="Times New Roman" w:cs="Times New Roman"/>
          <w:sz w:val="24"/>
          <w:szCs w:val="24"/>
        </w:rPr>
      </w:pPr>
      <w:r w:rsidRPr="00D90666">
        <w:rPr>
          <w:rFonts w:ascii="Times New Roman" w:hAnsi="Times New Roman" w:cs="Times New Roman"/>
          <w:b/>
          <w:sz w:val="24"/>
          <w:szCs w:val="24"/>
        </w:rPr>
        <w:t>Subject:</w:t>
      </w:r>
      <w:r w:rsidRPr="00D90666">
        <w:rPr>
          <w:rFonts w:ascii="Times New Roman" w:hAnsi="Times New Roman" w:cs="Times New Roman"/>
          <w:sz w:val="24"/>
          <w:szCs w:val="24"/>
        </w:rPr>
        <w:t xml:space="preserve"> Consolidation Accounting</w:t>
      </w:r>
    </w:p>
    <w:p w:rsidR="009123BE" w:rsidRDefault="009123BE" w:rsidP="00732EB2">
      <w:pPr>
        <w:pStyle w:val="NormalWeb"/>
        <w:spacing w:before="240" w:beforeAutospacing="0" w:after="240" w:afterAutospacing="0" w:line="480" w:lineRule="auto"/>
        <w:jc w:val="both"/>
        <w:rPr>
          <w:color w:val="0E101A"/>
        </w:rPr>
      </w:pPr>
      <w:r>
        <w:rPr>
          <w:color w:val="0E101A"/>
        </w:rPr>
        <w:t>Financial consolidation in simple terms refers to the process of combining or bringing together financial data from various subsidiaries that are controlled by a particular parent organization. The use of consolidation accounting is required by both GAAP and IFRS standards when preparing financial statements which must reflect all majority ownership investments. The underlying logic of preparing consolidated financial statements is based on the understanding that business combinations result in the formation of a single economic entity and hence its financial performance and position too must reflect this reality. (Hoyle, 2011) </w:t>
      </w:r>
    </w:p>
    <w:p w:rsidR="009123BE" w:rsidRDefault="009123BE" w:rsidP="00732EB2">
      <w:pPr>
        <w:pStyle w:val="NormalWeb"/>
        <w:spacing w:before="0" w:beforeAutospacing="0" w:after="240" w:afterAutospacing="0" w:line="480" w:lineRule="auto"/>
        <w:jc w:val="both"/>
        <w:rPr>
          <w:color w:val="0E101A"/>
        </w:rPr>
      </w:pPr>
      <w:r>
        <w:rPr>
          <w:color w:val="0E101A"/>
        </w:rPr>
        <w:t xml:space="preserve">Preparation of consolidated financial statements although having a straightforward objective of reporting financial position, results, and cash flow position of a combined entity the process, in reality, is much more than just adding together </w:t>
      </w:r>
      <w:proofErr w:type="spellStart"/>
      <w:r>
        <w:rPr>
          <w:color w:val="0E101A"/>
        </w:rPr>
        <w:t>asserts</w:t>
      </w:r>
      <w:proofErr w:type="spellEnd"/>
      <w:r>
        <w:rPr>
          <w:color w:val="0E101A"/>
        </w:rPr>
        <w:t xml:space="preserve"> and liabilities of the group entities. More specifically consolidated financial statements need to take into account the impact of reciprocal accounts, inter-entity transactions along with the effect of any minority interest investments. The process becomes more challenging in business combinations where individual entities retain their legal identities as the consolidation process needs to be performe</w:t>
      </w:r>
      <w:r w:rsidR="00405237">
        <w:rPr>
          <w:color w:val="0E101A"/>
        </w:rPr>
        <w:t>d at each reporting. Impact of intercompany</w:t>
      </w:r>
      <w:r>
        <w:rPr>
          <w:color w:val="0E101A"/>
        </w:rPr>
        <w:t xml:space="preserve"> transactions and minority interests are discussed in the sections below.</w:t>
      </w:r>
    </w:p>
    <w:p w:rsidR="009123BE" w:rsidRDefault="009123BE" w:rsidP="009123BE">
      <w:pPr>
        <w:pStyle w:val="NormalWeb"/>
        <w:spacing w:before="0" w:beforeAutospacing="0" w:after="0" w:afterAutospacing="0" w:line="480" w:lineRule="auto"/>
        <w:jc w:val="both"/>
        <w:rPr>
          <w:color w:val="0E101A"/>
        </w:rPr>
      </w:pPr>
      <w:r>
        <w:rPr>
          <w:rStyle w:val="Strong"/>
          <w:color w:val="0E101A"/>
        </w:rPr>
        <w:t>Intercompany transactions:</w:t>
      </w:r>
    </w:p>
    <w:p w:rsidR="00732EB2" w:rsidRDefault="009123BE" w:rsidP="00732EB2">
      <w:pPr>
        <w:pStyle w:val="NormalWeb"/>
        <w:spacing w:before="0" w:beforeAutospacing="0" w:after="240" w:afterAutospacing="0" w:line="480" w:lineRule="auto"/>
        <w:jc w:val="both"/>
        <w:rPr>
          <w:color w:val="0E101A"/>
        </w:rPr>
      </w:pPr>
      <w:r>
        <w:rPr>
          <w:color w:val="0E101A"/>
        </w:rPr>
        <w:lastRenderedPageBreak/>
        <w:t>Intercompany transactions can take either an upstream or downstream form and maybe as a result of sale or purchase of inventory, fixed assets, charging of management fee, etc. Eliminating the impact of such transactions becomes much more complicated as the volume of such transactions increases and in group companies that are vertically integrated. (Hoyle, 2011)</w:t>
      </w:r>
    </w:p>
    <w:p w:rsidR="009123BE" w:rsidRDefault="009123BE" w:rsidP="00732EB2">
      <w:pPr>
        <w:pStyle w:val="NormalWeb"/>
        <w:spacing w:before="0" w:beforeAutospacing="0" w:after="240" w:afterAutospacing="0" w:line="480" w:lineRule="auto"/>
        <w:jc w:val="both"/>
        <w:rPr>
          <w:color w:val="0E101A"/>
        </w:rPr>
      </w:pPr>
      <w:r>
        <w:rPr>
          <w:color w:val="0E101A"/>
        </w:rPr>
        <w:t>In case of sale of inventory either up or downstream consolidation process needs to take into account the fact whether such sales occur at a profit or cost. Such inventory sales between group entities for consolidation purposes are viewed merely as a movement of inventory and do not cause any change from the perspective of the consolidated entity until an impact is realized from a sale to an outside unrelated entity. For instance when if inventory is sold by a parent to the subsidiary at a profit during the year and some of it remains unsold the impact of such unsold inventory needs to be eliminated by adjusting sales, cost of sales, and inventory balances on the consolidated financial statements. Similarly, when fixed assets are sold between group entities any gain or loss that occurs is irrelevant for consolidation purposes. Further, such an asset must be recorded in the consolidated financial statements at its original cost. (Hoyle, 2011)</w:t>
      </w:r>
    </w:p>
    <w:p w:rsidR="009123BE" w:rsidRDefault="009123BE" w:rsidP="00732EB2">
      <w:pPr>
        <w:pStyle w:val="NormalWeb"/>
        <w:spacing w:before="0" w:beforeAutospacing="0" w:after="240" w:afterAutospacing="0" w:line="480" w:lineRule="auto"/>
        <w:jc w:val="both"/>
        <w:rPr>
          <w:color w:val="0E101A"/>
        </w:rPr>
      </w:pPr>
      <w:r>
        <w:rPr>
          <w:color w:val="0E101A"/>
        </w:rPr>
        <w:t>In the same spirit, intercompany receivables and payable balances are also adjusted on consolidated statements to eliminate the effect of double counting. For instance, if the parent entity provided management services to its subsidiary on credit separate receivable and payable balances will be present on the parent and subsidiary balance sheet. Such balances from a consolidated company perspective cancel each other out and hence need to be eliminated when preparing financial position on a consolidated basis. (Hoyle, 2011)</w:t>
      </w:r>
    </w:p>
    <w:p w:rsidR="009123BE" w:rsidRDefault="009123BE" w:rsidP="009123BE">
      <w:pPr>
        <w:pStyle w:val="NormalWeb"/>
        <w:spacing w:before="0" w:beforeAutospacing="0" w:after="0" w:afterAutospacing="0" w:line="480" w:lineRule="auto"/>
        <w:jc w:val="both"/>
        <w:rPr>
          <w:color w:val="0E101A"/>
        </w:rPr>
      </w:pPr>
      <w:r>
        <w:rPr>
          <w:rStyle w:val="Strong"/>
          <w:color w:val="0E101A"/>
        </w:rPr>
        <w:t>Minority interest Accounting: </w:t>
      </w:r>
    </w:p>
    <w:p w:rsidR="009123BE" w:rsidRDefault="009123BE" w:rsidP="009123BE">
      <w:pPr>
        <w:pStyle w:val="NormalWeb"/>
        <w:spacing w:before="0" w:beforeAutospacing="0" w:after="0" w:afterAutospacing="0" w:line="480" w:lineRule="auto"/>
        <w:jc w:val="both"/>
        <w:rPr>
          <w:color w:val="0E101A"/>
        </w:rPr>
      </w:pPr>
      <w:r>
        <w:rPr>
          <w:color w:val="0E101A"/>
        </w:rPr>
        <w:lastRenderedPageBreak/>
        <w:t xml:space="preserve">Minority interest in simple terms refers to ownership stakes of less than 50% in a business entity. Such interests are common in business combinations where the parent entity does not acquire a 100% ownership stake in a subsidiary. </w:t>
      </w:r>
      <w:bookmarkStart w:id="0" w:name="_GoBack"/>
      <w:bookmarkEnd w:id="0"/>
      <w:r>
        <w:rPr>
          <w:color w:val="0E101A"/>
        </w:rPr>
        <w:t>The existence of minority interest creates additional challenges for consolidation as both the share of minority interest on subsidiary profits and its ownership stake in subsidiary assets need to be determined. Specifically, minority interest is shown as a separate component within the overall equity section of the consolidated entity financial statements. (Hoyle, 2011)</w:t>
      </w:r>
    </w:p>
    <w:p w:rsidR="00D90666" w:rsidRPr="00D90666" w:rsidRDefault="00D90666" w:rsidP="009123BE">
      <w:pPr>
        <w:spacing w:line="480" w:lineRule="auto"/>
        <w:jc w:val="both"/>
        <w:rPr>
          <w:rFonts w:ascii="Times New Roman" w:hAnsi="Times New Roman" w:cs="Times New Roman"/>
          <w:sz w:val="24"/>
          <w:szCs w:val="24"/>
        </w:rPr>
      </w:pPr>
      <w:r w:rsidRPr="00D90666">
        <w:rPr>
          <w:rFonts w:ascii="Times New Roman" w:hAnsi="Times New Roman" w:cs="Times New Roman"/>
          <w:sz w:val="24"/>
          <w:szCs w:val="24"/>
        </w:rPr>
        <w:br w:type="page"/>
      </w:r>
    </w:p>
    <w:p w:rsidR="00DC0FA8" w:rsidRPr="00D90666" w:rsidRDefault="00D90666" w:rsidP="009123BE">
      <w:pPr>
        <w:spacing w:line="480" w:lineRule="auto"/>
        <w:jc w:val="both"/>
        <w:rPr>
          <w:rFonts w:ascii="Times New Roman" w:hAnsi="Times New Roman" w:cs="Times New Roman"/>
          <w:b/>
          <w:sz w:val="24"/>
          <w:szCs w:val="24"/>
        </w:rPr>
      </w:pPr>
      <w:r w:rsidRPr="00D90666">
        <w:rPr>
          <w:rFonts w:ascii="Times New Roman" w:hAnsi="Times New Roman" w:cs="Times New Roman"/>
          <w:b/>
          <w:sz w:val="24"/>
          <w:szCs w:val="24"/>
        </w:rPr>
        <w:lastRenderedPageBreak/>
        <w:t xml:space="preserve">Reference </w:t>
      </w:r>
    </w:p>
    <w:p w:rsidR="00AA342A" w:rsidRPr="00D90666" w:rsidRDefault="00D90666" w:rsidP="009123BE">
      <w:pPr>
        <w:spacing w:line="480" w:lineRule="auto"/>
        <w:jc w:val="both"/>
        <w:rPr>
          <w:rFonts w:ascii="Times New Roman" w:hAnsi="Times New Roman" w:cs="Times New Roman"/>
          <w:sz w:val="24"/>
          <w:szCs w:val="24"/>
        </w:rPr>
      </w:pPr>
      <w:r w:rsidRPr="00D90666">
        <w:rPr>
          <w:rFonts w:ascii="Times New Roman" w:hAnsi="Times New Roman" w:cs="Times New Roman"/>
          <w:color w:val="000000"/>
          <w:sz w:val="24"/>
          <w:szCs w:val="24"/>
          <w:shd w:val="clear" w:color="auto" w:fill="FFFFFF"/>
        </w:rPr>
        <w:t>Hoyle, J. (2011). </w:t>
      </w:r>
      <w:proofErr w:type="gramStart"/>
      <w:r w:rsidRPr="00D90666">
        <w:rPr>
          <w:rFonts w:ascii="Times New Roman" w:hAnsi="Times New Roman" w:cs="Times New Roman"/>
          <w:i/>
          <w:iCs/>
          <w:color w:val="000000"/>
          <w:sz w:val="24"/>
          <w:szCs w:val="24"/>
          <w:shd w:val="clear" w:color="auto" w:fill="FFFFFF"/>
        </w:rPr>
        <w:t>Advanced accounting</w:t>
      </w:r>
      <w:r w:rsidRPr="00D90666">
        <w:rPr>
          <w:rFonts w:ascii="Times New Roman" w:hAnsi="Times New Roman" w:cs="Times New Roman"/>
          <w:color w:val="000000"/>
          <w:sz w:val="24"/>
          <w:szCs w:val="24"/>
          <w:shd w:val="clear" w:color="auto" w:fill="FFFFFF"/>
        </w:rPr>
        <w:t>.</w:t>
      </w:r>
      <w:proofErr w:type="gramEnd"/>
    </w:p>
    <w:p w:rsidR="0063500C" w:rsidRPr="00D90666" w:rsidRDefault="0063500C" w:rsidP="009123BE">
      <w:pPr>
        <w:spacing w:line="480" w:lineRule="auto"/>
        <w:jc w:val="both"/>
        <w:rPr>
          <w:rFonts w:ascii="Times New Roman" w:hAnsi="Times New Roman" w:cs="Times New Roman"/>
          <w:b/>
          <w:sz w:val="24"/>
          <w:szCs w:val="24"/>
        </w:rPr>
      </w:pPr>
    </w:p>
    <w:sectPr w:rsidR="0063500C" w:rsidRPr="00D90666">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3DDF" w:rsidRDefault="00703DDF" w:rsidP="0063500C">
      <w:pPr>
        <w:spacing w:after="0" w:line="240" w:lineRule="auto"/>
      </w:pPr>
      <w:r>
        <w:separator/>
      </w:r>
    </w:p>
  </w:endnote>
  <w:endnote w:type="continuationSeparator" w:id="0">
    <w:p w:rsidR="00703DDF" w:rsidRDefault="00703DDF" w:rsidP="006350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0341588"/>
      <w:docPartObj>
        <w:docPartGallery w:val="Page Numbers (Bottom of Page)"/>
        <w:docPartUnique/>
      </w:docPartObj>
    </w:sdtPr>
    <w:sdtEndPr>
      <w:rPr>
        <w:noProof/>
      </w:rPr>
    </w:sdtEndPr>
    <w:sdtContent>
      <w:p w:rsidR="0063500C" w:rsidRDefault="0063500C" w:rsidP="0063500C">
        <w:pPr>
          <w:pStyle w:val="Footer"/>
          <w:pBdr>
            <w:top w:val="single" w:sz="4" w:space="1" w:color="auto"/>
          </w:pBdr>
          <w:jc w:val="right"/>
        </w:pPr>
        <w:r>
          <w:fldChar w:fldCharType="begin"/>
        </w:r>
        <w:r>
          <w:instrText xml:space="preserve"> PAGE   \* MERGEFORMAT </w:instrText>
        </w:r>
        <w:r>
          <w:fldChar w:fldCharType="separate"/>
        </w:r>
        <w:r w:rsidR="00732EB2">
          <w:rPr>
            <w:noProof/>
          </w:rPr>
          <w:t>3</w:t>
        </w:r>
        <w:r>
          <w:rPr>
            <w:noProof/>
          </w:rPr>
          <w:fldChar w:fldCharType="end"/>
        </w:r>
      </w:p>
    </w:sdtContent>
  </w:sdt>
  <w:p w:rsidR="0063500C" w:rsidRDefault="006350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3DDF" w:rsidRDefault="00703DDF" w:rsidP="0063500C">
      <w:pPr>
        <w:spacing w:after="0" w:line="240" w:lineRule="auto"/>
      </w:pPr>
      <w:r>
        <w:separator/>
      </w:r>
    </w:p>
  </w:footnote>
  <w:footnote w:type="continuationSeparator" w:id="0">
    <w:p w:rsidR="00703DDF" w:rsidRDefault="00703DDF" w:rsidP="006350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00C" w:rsidRPr="0063500C" w:rsidRDefault="0063500C" w:rsidP="0063500C">
    <w:pPr>
      <w:pStyle w:val="Header"/>
      <w:pBdr>
        <w:bottom w:val="single" w:sz="4" w:space="1" w:color="auto"/>
      </w:pBdr>
      <w:rPr>
        <w:rFonts w:ascii="Times New Roman" w:hAnsi="Times New Roman" w:cs="Times New Roman"/>
        <w:b/>
        <w:sz w:val="24"/>
        <w:szCs w:val="24"/>
      </w:rPr>
    </w:pPr>
    <w:r w:rsidRPr="0063500C">
      <w:rPr>
        <w:rFonts w:ascii="Times New Roman" w:hAnsi="Times New Roman" w:cs="Times New Roman"/>
        <w:b/>
        <w:sz w:val="24"/>
        <w:szCs w:val="24"/>
      </w:rPr>
      <w:t>Memo: Consolidation Accounting</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B5F"/>
    <w:rsid w:val="0009235E"/>
    <w:rsid w:val="00405237"/>
    <w:rsid w:val="00562054"/>
    <w:rsid w:val="0063500C"/>
    <w:rsid w:val="00703DDF"/>
    <w:rsid w:val="00732EB2"/>
    <w:rsid w:val="009123BE"/>
    <w:rsid w:val="00AA342A"/>
    <w:rsid w:val="00C56BB3"/>
    <w:rsid w:val="00D90666"/>
    <w:rsid w:val="00DC0FA8"/>
    <w:rsid w:val="00EB2608"/>
    <w:rsid w:val="00F43B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350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63500C"/>
  </w:style>
  <w:style w:type="paragraph" w:styleId="Footer">
    <w:name w:val="footer"/>
    <w:basedOn w:val="Normal"/>
    <w:link w:val="FooterChar"/>
    <w:uiPriority w:val="99"/>
    <w:unhideWhenUsed/>
    <w:rsid w:val="006350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500C"/>
  </w:style>
  <w:style w:type="paragraph" w:styleId="NormalWeb">
    <w:name w:val="Normal (Web)"/>
    <w:basedOn w:val="Normal"/>
    <w:uiPriority w:val="99"/>
    <w:semiHidden/>
    <w:unhideWhenUsed/>
    <w:rsid w:val="009123B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123B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350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63500C"/>
  </w:style>
  <w:style w:type="paragraph" w:styleId="Footer">
    <w:name w:val="footer"/>
    <w:basedOn w:val="Normal"/>
    <w:link w:val="FooterChar"/>
    <w:uiPriority w:val="99"/>
    <w:unhideWhenUsed/>
    <w:rsid w:val="006350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500C"/>
  </w:style>
  <w:style w:type="paragraph" w:styleId="NormalWeb">
    <w:name w:val="Normal (Web)"/>
    <w:basedOn w:val="Normal"/>
    <w:uiPriority w:val="99"/>
    <w:semiHidden/>
    <w:unhideWhenUsed/>
    <w:rsid w:val="009123B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123B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2022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6A2B36-665C-47AD-B72D-8F4F10765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4</Pages>
  <Words>607</Words>
  <Characters>3463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7</cp:revision>
  <dcterms:created xsi:type="dcterms:W3CDTF">2020-10-30T12:26:00Z</dcterms:created>
  <dcterms:modified xsi:type="dcterms:W3CDTF">2020-10-30T13:17:00Z</dcterms:modified>
</cp:coreProperties>
</file>